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88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85"/>
        <w:gridCol w:w="176"/>
        <w:gridCol w:w="2712"/>
        <w:gridCol w:w="522"/>
        <w:gridCol w:w="725"/>
        <w:gridCol w:w="114"/>
        <w:gridCol w:w="595"/>
        <w:gridCol w:w="709"/>
        <w:gridCol w:w="349"/>
        <w:gridCol w:w="48"/>
        <w:gridCol w:w="453"/>
        <w:gridCol w:w="114"/>
        <w:gridCol w:w="453"/>
        <w:gridCol w:w="438"/>
        <w:gridCol w:w="129"/>
        <w:gridCol w:w="142"/>
        <w:gridCol w:w="113"/>
        <w:gridCol w:w="15"/>
        <w:gridCol w:w="581"/>
        <w:gridCol w:w="708"/>
      </w:tblGrid>
      <w:tr w:rsidR="00304840" w:rsidRPr="00854DAD" w:rsidTr="00304840"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123571853"/>
            <w:r w:rsidRPr="00854DA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798BE35" wp14:editId="49C5DDAE">
                  <wp:extent cx="1152525" cy="1036432"/>
                  <wp:effectExtent l="19050" t="0" r="9525" b="0"/>
                  <wp:docPr id="1" name="Рисунок 1" descr="На зображенні може бути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зображенні може бути: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71" cy="1035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Кам’янець-Подільський національний університет імені Івана Огієнка </w:t>
            </w: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Факультет фізичної культури</w:t>
            </w: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легкої атлетики з методикою викладання</w:t>
            </w:r>
          </w:p>
        </w:tc>
        <w:tc>
          <w:tcPr>
            <w:tcW w:w="1688" w:type="dxa"/>
            <w:gridSpan w:val="6"/>
            <w:vMerge w:val="restart"/>
            <w:tcBorders>
              <w:left w:val="single" w:sz="4" w:space="0" w:color="auto"/>
            </w:tcBorders>
          </w:tcPr>
          <w:p w:rsidR="00304840" w:rsidRPr="00854DAD" w:rsidRDefault="00304840" w:rsidP="002E20E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D641AA" wp14:editId="24A1EE5A">
                  <wp:extent cx="1047750" cy="101727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61" cy="101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840" w:rsidRPr="00854DAD" w:rsidTr="00304840"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4840" w:rsidRPr="00F84462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4840" w:rsidRPr="00F84462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Силабус</w:t>
            </w:r>
            <w:proofErr w:type="spellEnd"/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вибіркового</w:t>
            </w:r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компонент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дисциплін професійної підготовки</w:t>
            </w:r>
          </w:p>
          <w:p w:rsidR="00304840" w:rsidRPr="00F84462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Спортивні споруди і обладнання</w:t>
            </w:r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8" w:type="dxa"/>
            <w:gridSpan w:val="6"/>
            <w:vMerge/>
            <w:tcBorders>
              <w:lef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4840" w:rsidRPr="00854DAD" w:rsidTr="00304840">
        <w:trPr>
          <w:trHeight w:val="78"/>
        </w:trPr>
        <w:tc>
          <w:tcPr>
            <w:tcW w:w="51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Галузь знань:</w:t>
            </w:r>
          </w:p>
        </w:tc>
        <w:tc>
          <w:tcPr>
            <w:tcW w:w="5686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Освіта / Педагогіка</w:t>
            </w:r>
          </w:p>
        </w:tc>
      </w:tr>
      <w:tr w:rsidR="00304840" w:rsidRPr="00854DAD" w:rsidTr="00304840">
        <w:trPr>
          <w:trHeight w:val="96"/>
        </w:trPr>
        <w:tc>
          <w:tcPr>
            <w:tcW w:w="51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Спеціальність: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  <w:r w:rsidRPr="0085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освіта (Фізична культура)</w:t>
            </w:r>
          </w:p>
        </w:tc>
      </w:tr>
      <w:tr w:rsidR="00304840" w:rsidRPr="00854DAD" w:rsidTr="00304840">
        <w:trPr>
          <w:trHeight w:val="114"/>
        </w:trPr>
        <w:tc>
          <w:tcPr>
            <w:tcW w:w="51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Освітньо-професійна програма: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освіта (Фізична культура)</w:t>
            </w:r>
          </w:p>
        </w:tc>
      </w:tr>
      <w:tr w:rsidR="00304840" w:rsidRPr="00854DAD" w:rsidTr="00304840">
        <w:trPr>
          <w:trHeight w:val="146"/>
        </w:trPr>
        <w:tc>
          <w:tcPr>
            <w:tcW w:w="51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Рівень вищої освіти: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перший (бакалаврський)</w:t>
            </w:r>
          </w:p>
        </w:tc>
      </w:tr>
      <w:tr w:rsidR="00304840" w:rsidRPr="00854DAD" w:rsidTr="00304840">
        <w:trPr>
          <w:trHeight w:val="149"/>
        </w:trPr>
        <w:tc>
          <w:tcPr>
            <w:tcW w:w="51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Статус дисципліни: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Вибірковий компонент</w:t>
            </w:r>
            <w:r w:rsidRPr="00F8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дисциплін професійної підготовки</w:t>
            </w:r>
          </w:p>
        </w:tc>
      </w:tr>
      <w:tr w:rsidR="00304840" w:rsidRPr="00854DAD" w:rsidTr="00304840">
        <w:trPr>
          <w:trHeight w:val="182"/>
        </w:trPr>
        <w:tc>
          <w:tcPr>
            <w:tcW w:w="51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Мова викладання: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українська</w:t>
            </w:r>
          </w:p>
        </w:tc>
      </w:tr>
      <w:tr w:rsidR="00304840" w:rsidRPr="00854DAD" w:rsidTr="00304840">
        <w:trPr>
          <w:trHeight w:val="199"/>
        </w:trPr>
        <w:tc>
          <w:tcPr>
            <w:tcW w:w="1961" w:type="dxa"/>
            <w:gridSpan w:val="2"/>
            <w:vMerge w:val="restart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Науково-педагогічні працівники</w:t>
            </w: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ind w:lef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41B321" wp14:editId="3A820149">
                  <wp:extent cx="2047875" cy="1837690"/>
                  <wp:effectExtent l="0" t="0" r="0" b="0"/>
                  <wp:docPr id="3" name="Рисунок 3" descr="https://la.kpnu.edu.ua/wp-content/uploads/2019/12/shchod8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a.kpnu.edu.ua/wp-content/uploads/2019/12/shchod8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111" cy="186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ПІБ:</w:t>
            </w:r>
          </w:p>
        </w:tc>
        <w:tc>
          <w:tcPr>
            <w:tcW w:w="3194" w:type="dxa"/>
            <w:gridSpan w:val="11"/>
            <w:tcBorders>
              <w:lef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Ліщук Василь Володимирович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Посада:</w:t>
            </w:r>
          </w:p>
        </w:tc>
        <w:tc>
          <w:tcPr>
            <w:tcW w:w="3194" w:type="dxa"/>
            <w:gridSpan w:val="11"/>
            <w:tcBorders>
              <w:lef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викладач кафедри легкої атлетики з методикою викладання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Вчений ступінь:</w:t>
            </w:r>
          </w:p>
        </w:tc>
        <w:tc>
          <w:tcPr>
            <w:tcW w:w="3194" w:type="dxa"/>
            <w:gridSpan w:val="11"/>
            <w:tcBorders>
              <w:lef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Доцент 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3194" w:type="dxa"/>
            <w:gridSpan w:val="11"/>
            <w:tcBorders>
              <w:lef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097 27 54 642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4" w:type="dxa"/>
            <w:gridSpan w:val="11"/>
            <w:tcBorders>
              <w:left w:val="single" w:sz="4" w:space="0" w:color="auto"/>
            </w:tcBorders>
          </w:tcPr>
          <w:p w:rsidR="00304840" w:rsidRPr="007C30EF" w:rsidRDefault="0030490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hyperlink r:id="rId7" w:history="1">
              <w:r w:rsidR="003048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lishchuk@kpnu.edu.ua</w:t>
              </w:r>
            </w:hyperlink>
          </w:p>
        </w:tc>
      </w:tr>
      <w:tr w:rsidR="00304840" w:rsidRPr="00854DAD" w:rsidTr="00304840">
        <w:tc>
          <w:tcPr>
            <w:tcW w:w="1961" w:type="dxa"/>
            <w:gridSpan w:val="2"/>
            <w:vMerge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Робоче місце:</w:t>
            </w:r>
          </w:p>
        </w:tc>
        <w:tc>
          <w:tcPr>
            <w:tcW w:w="3194" w:type="dxa"/>
            <w:gridSpan w:val="11"/>
            <w:tcBorders>
              <w:lef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Аудиторія кафедри легкої атлетики з методикою викладання</w:t>
            </w:r>
          </w:p>
        </w:tc>
      </w:tr>
      <w:tr w:rsidR="00304840" w:rsidRPr="00304900" w:rsidTr="00304840">
        <w:trPr>
          <w:trHeight w:val="922"/>
        </w:trPr>
        <w:tc>
          <w:tcPr>
            <w:tcW w:w="1961" w:type="dxa"/>
            <w:gridSpan w:val="2"/>
            <w:vMerge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Профайл</w:t>
            </w:r>
            <w:proofErr w:type="spellEnd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викладача:</w:t>
            </w:r>
          </w:p>
        </w:tc>
        <w:tc>
          <w:tcPr>
            <w:tcW w:w="3194" w:type="dxa"/>
            <w:gridSpan w:val="11"/>
            <w:tcBorders>
              <w:left w:val="single" w:sz="4" w:space="0" w:color="auto"/>
            </w:tcBorders>
          </w:tcPr>
          <w:p w:rsidR="00304840" w:rsidRDefault="0030490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hyperlink r:id="rId8" w:history="1">
              <w:r w:rsidR="00304840" w:rsidRPr="001F3E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https://la.kpnu.edu.ua/vidomosti-pro-vykladachiv/lishchuk-vasyl-volodymyrovych/</w:t>
              </w:r>
            </w:hyperlink>
          </w:p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04840" w:rsidRPr="00304900" w:rsidTr="00304840">
        <w:tc>
          <w:tcPr>
            <w:tcW w:w="1961" w:type="dxa"/>
            <w:gridSpan w:val="2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Сторінка курсу в </w:t>
            </w: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MOODLE</w:t>
            </w: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20" w:type="dxa"/>
            <w:gridSpan w:val="18"/>
          </w:tcPr>
          <w:p w:rsidR="00304840" w:rsidRPr="002377CD" w:rsidRDefault="00304900" w:rsidP="002E20EA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304840" w:rsidRPr="002377C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https://moodle.kpnu.edu.ua/course/view.php?id=9190</w:t>
              </w:r>
            </w:hyperlink>
            <w:r w:rsidR="00304840" w:rsidRPr="0023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4840" w:rsidRPr="00854DAD" w:rsidTr="00304840">
        <w:tc>
          <w:tcPr>
            <w:tcW w:w="1961" w:type="dxa"/>
            <w:gridSpan w:val="2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Консультації</w:t>
            </w:r>
          </w:p>
        </w:tc>
        <w:tc>
          <w:tcPr>
            <w:tcW w:w="3234" w:type="dxa"/>
            <w:gridSpan w:val="2"/>
          </w:tcPr>
          <w:p w:rsidR="00304840" w:rsidRPr="00854DAD" w:rsidRDefault="00304840" w:rsidP="002E20EA">
            <w:pPr>
              <w:pStyle w:val="a5"/>
              <w:snapToGrid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Ліщук В.В.</w:t>
            </w:r>
          </w:p>
        </w:tc>
        <w:tc>
          <w:tcPr>
            <w:tcW w:w="2540" w:type="dxa"/>
            <w:gridSpan w:val="6"/>
          </w:tcPr>
          <w:p w:rsidR="00304840" w:rsidRPr="00854DAD" w:rsidRDefault="00304840" w:rsidP="002E20EA">
            <w:pPr>
              <w:pStyle w:val="a5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54DAD">
              <w:rPr>
                <w:b w:val="0"/>
                <w:sz w:val="20"/>
                <w:szCs w:val="20"/>
              </w:rPr>
              <w:t>Понеділок – 14.20.-16.00.</w:t>
            </w:r>
          </w:p>
          <w:p w:rsidR="00304840" w:rsidRPr="00854DAD" w:rsidRDefault="00304840" w:rsidP="002E20EA">
            <w:pPr>
              <w:pStyle w:val="a5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54DAD">
              <w:rPr>
                <w:b w:val="0"/>
                <w:sz w:val="20"/>
                <w:szCs w:val="20"/>
              </w:rPr>
              <w:t>Четвер – 14.20.-16.00.</w:t>
            </w:r>
          </w:p>
        </w:tc>
        <w:tc>
          <w:tcPr>
            <w:tcW w:w="3146" w:type="dxa"/>
            <w:gridSpan w:val="10"/>
          </w:tcPr>
          <w:p w:rsidR="00304840" w:rsidRPr="00854DAD" w:rsidRDefault="00304840" w:rsidP="002E20EA">
            <w:pPr>
              <w:pStyle w:val="a5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136088">
              <w:rPr>
                <w:b w:val="0"/>
                <w:sz w:val="20"/>
                <w:szCs w:val="20"/>
              </w:rPr>
              <w:t>Аудиторія кафедри легкої атлетики з методикою викладання</w:t>
            </w:r>
          </w:p>
        </w:tc>
      </w:tr>
      <w:tr w:rsidR="00304840" w:rsidRPr="00304840" w:rsidTr="00304840">
        <w:tc>
          <w:tcPr>
            <w:tcW w:w="1961" w:type="dxa"/>
            <w:gridSpan w:val="2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Анотація до курсу</w:t>
            </w:r>
          </w:p>
        </w:tc>
        <w:tc>
          <w:tcPr>
            <w:tcW w:w="8920" w:type="dxa"/>
            <w:gridSpan w:val="18"/>
          </w:tcPr>
          <w:p w:rsidR="00304840" w:rsidRPr="00300D5F" w:rsidRDefault="00304840" w:rsidP="002E20EA">
            <w:pPr>
              <w:pStyle w:val="a7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Вибірковий освітній компонент дисципліни професійної підготовки </w:t>
            </w:r>
            <w:r w:rsidRPr="00300D5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Спортивні споруди і обладнання</w:t>
            </w:r>
            <w:r w:rsidRPr="00300D5F">
              <w:rPr>
                <w:sz w:val="20"/>
                <w:szCs w:val="20"/>
              </w:rPr>
              <w:t>» для здобувачів вищої освіти першого (бакалаврського) рівня спеціальності 01</w:t>
            </w:r>
            <w:r>
              <w:rPr>
                <w:sz w:val="20"/>
                <w:szCs w:val="20"/>
              </w:rPr>
              <w:t>4</w:t>
            </w:r>
            <w:r w:rsidRPr="00300D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Середня освіта (Фізична культура)</w:t>
            </w:r>
            <w:r w:rsidRPr="00300D5F">
              <w:rPr>
                <w:sz w:val="20"/>
                <w:szCs w:val="20"/>
              </w:rPr>
              <w:t xml:space="preserve"> у першу чергу спрямована на теоретичну та практичну підготовку майбутнього </w:t>
            </w:r>
            <w:r>
              <w:rPr>
                <w:sz w:val="20"/>
                <w:szCs w:val="20"/>
              </w:rPr>
              <w:t>вчителя фізичної культури</w:t>
            </w:r>
            <w:r w:rsidRPr="00300D5F">
              <w:rPr>
                <w:sz w:val="20"/>
                <w:szCs w:val="20"/>
              </w:rPr>
              <w:t xml:space="preserve"> й передбачає розгляд питань щодо особливостей </w:t>
            </w:r>
            <w:r>
              <w:rPr>
                <w:sz w:val="20"/>
                <w:szCs w:val="20"/>
              </w:rPr>
              <w:t>побудови спортивних споруд та використання спортивного обладнання.</w:t>
            </w:r>
          </w:p>
          <w:p w:rsidR="00304840" w:rsidRPr="00854DAD" w:rsidRDefault="00304840" w:rsidP="002E20EA">
            <w:pPr>
              <w:pStyle w:val="a7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Вибірковий освітній компонент</w:t>
            </w:r>
            <w:r w:rsidRPr="00300D5F">
              <w:rPr>
                <w:sz w:val="20"/>
                <w:szCs w:val="20"/>
              </w:rPr>
              <w:t xml:space="preserve"> передбачає вивчення </w:t>
            </w:r>
            <w:r>
              <w:rPr>
                <w:sz w:val="20"/>
                <w:szCs w:val="20"/>
              </w:rPr>
              <w:t>20</w:t>
            </w:r>
            <w:r w:rsidRPr="00300D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ох</w:t>
            </w:r>
            <w:r w:rsidRPr="00300D5F">
              <w:rPr>
                <w:sz w:val="20"/>
                <w:szCs w:val="20"/>
              </w:rPr>
              <w:t xml:space="preserve"> тем з яких </w:t>
            </w:r>
            <w:r>
              <w:rPr>
                <w:sz w:val="20"/>
                <w:szCs w:val="20"/>
              </w:rPr>
              <w:t>чотири</w:t>
            </w:r>
            <w:r w:rsidRPr="00300D5F">
              <w:rPr>
                <w:sz w:val="20"/>
                <w:szCs w:val="20"/>
              </w:rPr>
              <w:t xml:space="preserve"> тем</w:t>
            </w:r>
            <w:r>
              <w:rPr>
                <w:sz w:val="20"/>
                <w:szCs w:val="20"/>
              </w:rPr>
              <w:t>и</w:t>
            </w:r>
            <w:r w:rsidRPr="00300D5F">
              <w:rPr>
                <w:sz w:val="20"/>
                <w:szCs w:val="20"/>
              </w:rPr>
              <w:t xml:space="preserve"> розглядатимуться на лекційних заняттях: «</w:t>
            </w:r>
            <w:r w:rsidRPr="00AF1119">
              <w:rPr>
                <w:sz w:val="20"/>
                <w:szCs w:val="20"/>
              </w:rPr>
              <w:t>Вступ до дисципліни «Спортивні споруди і обладнання»</w:t>
            </w:r>
            <w:r>
              <w:rPr>
                <w:sz w:val="20"/>
                <w:szCs w:val="20"/>
              </w:rPr>
              <w:t xml:space="preserve"> </w:t>
            </w:r>
            <w:r w:rsidRPr="00300D5F">
              <w:rPr>
                <w:sz w:val="20"/>
                <w:szCs w:val="20"/>
              </w:rPr>
              <w:t>», «</w:t>
            </w:r>
            <w:r w:rsidRPr="00AF1119">
              <w:rPr>
                <w:sz w:val="20"/>
                <w:szCs w:val="20"/>
              </w:rPr>
              <w:t>Норми, структура та організація будівництва спортивних споруд і обладнання</w:t>
            </w:r>
            <w:r w:rsidRPr="00300D5F">
              <w:rPr>
                <w:sz w:val="20"/>
                <w:szCs w:val="20"/>
              </w:rPr>
              <w:t>», «</w:t>
            </w:r>
            <w:r w:rsidRPr="00AF1119">
              <w:rPr>
                <w:sz w:val="20"/>
                <w:szCs w:val="20"/>
              </w:rPr>
              <w:t>Спортивні  споруди для легкої атлетики</w:t>
            </w:r>
            <w:r w:rsidRPr="00300D5F">
              <w:rPr>
                <w:sz w:val="20"/>
                <w:szCs w:val="20"/>
              </w:rPr>
              <w:t>», «</w:t>
            </w:r>
            <w:r w:rsidRPr="00AF1119">
              <w:rPr>
                <w:sz w:val="20"/>
                <w:szCs w:val="20"/>
              </w:rPr>
              <w:t>Організаційні основи експлуатації спортивних споруд</w:t>
            </w:r>
            <w:r w:rsidRPr="00300D5F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вісім</w:t>
            </w:r>
            <w:r w:rsidRPr="00300D5F">
              <w:rPr>
                <w:sz w:val="20"/>
                <w:szCs w:val="20"/>
              </w:rPr>
              <w:t xml:space="preserve"> тем на практичних заняттях: «</w:t>
            </w:r>
            <w:r w:rsidRPr="00042A17">
              <w:rPr>
                <w:sz w:val="20"/>
                <w:szCs w:val="20"/>
              </w:rPr>
              <w:t>Загальні відомості про спортивні споруди</w:t>
            </w:r>
            <w:r w:rsidRPr="00300D5F">
              <w:rPr>
                <w:sz w:val="20"/>
                <w:szCs w:val="20"/>
              </w:rPr>
              <w:t>», «</w:t>
            </w:r>
            <w:r w:rsidRPr="00042A17">
              <w:rPr>
                <w:sz w:val="20"/>
                <w:szCs w:val="20"/>
              </w:rPr>
              <w:t>Класифікація та характеристика спортивних споруд</w:t>
            </w:r>
            <w:r w:rsidRPr="00300D5F">
              <w:rPr>
                <w:sz w:val="20"/>
                <w:szCs w:val="20"/>
              </w:rPr>
              <w:t>», «</w:t>
            </w:r>
            <w:r w:rsidRPr="00042A17">
              <w:rPr>
                <w:sz w:val="20"/>
                <w:szCs w:val="20"/>
              </w:rPr>
              <w:t>Основи будівництва спортивних споруд</w:t>
            </w:r>
            <w:r w:rsidRPr="00300D5F">
              <w:rPr>
                <w:sz w:val="20"/>
                <w:szCs w:val="20"/>
              </w:rPr>
              <w:t>», «</w:t>
            </w:r>
            <w:r w:rsidRPr="00042A17">
              <w:rPr>
                <w:sz w:val="20"/>
                <w:szCs w:val="20"/>
              </w:rPr>
              <w:t>Будівництво площинних відкритих спортивних споруд</w:t>
            </w:r>
            <w:r>
              <w:rPr>
                <w:sz w:val="20"/>
                <w:szCs w:val="20"/>
              </w:rPr>
              <w:t>», «</w:t>
            </w:r>
            <w:r w:rsidRPr="00042A17">
              <w:rPr>
                <w:sz w:val="20"/>
                <w:szCs w:val="20"/>
              </w:rPr>
              <w:t>Спортивні споруди — матеріально-технічна основа розвитку фізичної культури  та спорту</w:t>
            </w:r>
            <w:r>
              <w:rPr>
                <w:sz w:val="20"/>
                <w:szCs w:val="20"/>
              </w:rPr>
              <w:t>», «</w:t>
            </w:r>
            <w:r w:rsidRPr="00042A17">
              <w:rPr>
                <w:sz w:val="20"/>
                <w:szCs w:val="20"/>
              </w:rPr>
              <w:t>Фізкультурно-спортивні споруди для масових видів спорту, спортивних ігор</w:t>
            </w:r>
            <w:r>
              <w:rPr>
                <w:sz w:val="20"/>
                <w:szCs w:val="20"/>
              </w:rPr>
              <w:t>», «</w:t>
            </w:r>
            <w:r w:rsidRPr="00042A17">
              <w:rPr>
                <w:sz w:val="20"/>
                <w:szCs w:val="20"/>
              </w:rPr>
              <w:t>Спортивні споруди для легкої атлетики</w:t>
            </w:r>
            <w:r>
              <w:rPr>
                <w:sz w:val="20"/>
                <w:szCs w:val="20"/>
              </w:rPr>
              <w:t>», «</w:t>
            </w:r>
            <w:r w:rsidRPr="00042A17">
              <w:rPr>
                <w:sz w:val="20"/>
                <w:szCs w:val="20"/>
              </w:rPr>
              <w:t>Споруди для гімнастики, єдиноборствами, боксу та силовими видами спорту</w:t>
            </w:r>
            <w:r>
              <w:rPr>
                <w:sz w:val="20"/>
                <w:szCs w:val="20"/>
              </w:rPr>
              <w:t>» та вісім тем на лабораторних заняттях: «</w:t>
            </w:r>
            <w:r w:rsidRPr="00042A17">
              <w:rPr>
                <w:sz w:val="20"/>
                <w:szCs w:val="20"/>
              </w:rPr>
              <w:t>Будівництво спортивного ядра</w:t>
            </w:r>
            <w:r>
              <w:rPr>
                <w:sz w:val="20"/>
                <w:szCs w:val="20"/>
              </w:rPr>
              <w:t>», «</w:t>
            </w:r>
            <w:r w:rsidRPr="00042A17">
              <w:rPr>
                <w:sz w:val="20"/>
                <w:szCs w:val="20"/>
              </w:rPr>
              <w:t>Будівництво майданчиків для занять спортивними іграми</w:t>
            </w:r>
            <w:r>
              <w:rPr>
                <w:sz w:val="20"/>
                <w:szCs w:val="20"/>
              </w:rPr>
              <w:t>», «</w:t>
            </w:r>
            <w:r w:rsidRPr="00042A17">
              <w:rPr>
                <w:sz w:val="20"/>
                <w:szCs w:val="20"/>
              </w:rPr>
              <w:t>Будівництво та розмітка місць для стрибків у довжину та висоту</w:t>
            </w:r>
            <w:r>
              <w:rPr>
                <w:sz w:val="20"/>
                <w:szCs w:val="20"/>
              </w:rPr>
              <w:t>», «</w:t>
            </w:r>
            <w:r w:rsidRPr="009C35BE">
              <w:rPr>
                <w:sz w:val="20"/>
                <w:szCs w:val="20"/>
              </w:rPr>
              <w:t>Будівництво та розмітка місць для метання</w:t>
            </w:r>
            <w:r>
              <w:rPr>
                <w:sz w:val="20"/>
                <w:szCs w:val="20"/>
              </w:rPr>
              <w:t>», «</w:t>
            </w:r>
            <w:r w:rsidRPr="009C35BE">
              <w:rPr>
                <w:sz w:val="20"/>
                <w:szCs w:val="20"/>
              </w:rPr>
              <w:t>Планування та розмітка легкоатлетичних доріжок</w:t>
            </w:r>
            <w:r>
              <w:rPr>
                <w:sz w:val="20"/>
                <w:szCs w:val="20"/>
              </w:rPr>
              <w:t>», «</w:t>
            </w:r>
            <w:r w:rsidRPr="009C35BE">
              <w:rPr>
                <w:sz w:val="20"/>
                <w:szCs w:val="20"/>
              </w:rPr>
              <w:t>Планування та розмітка майданчику для тенісу</w:t>
            </w:r>
            <w:r>
              <w:rPr>
                <w:sz w:val="20"/>
                <w:szCs w:val="20"/>
              </w:rPr>
              <w:t>», «</w:t>
            </w:r>
            <w:r w:rsidRPr="009C35BE">
              <w:rPr>
                <w:sz w:val="20"/>
                <w:szCs w:val="20"/>
              </w:rPr>
              <w:t>Планування та розмітка майданчику для баскетболу</w:t>
            </w:r>
            <w:r>
              <w:rPr>
                <w:sz w:val="20"/>
                <w:szCs w:val="20"/>
              </w:rPr>
              <w:t>», «</w:t>
            </w:r>
            <w:r w:rsidRPr="009C35BE">
              <w:rPr>
                <w:sz w:val="20"/>
                <w:szCs w:val="20"/>
              </w:rPr>
              <w:t>Планування та розмітка майданчику для волейболу</w:t>
            </w:r>
            <w:r>
              <w:rPr>
                <w:sz w:val="20"/>
                <w:szCs w:val="20"/>
              </w:rPr>
              <w:t xml:space="preserve">». </w:t>
            </w:r>
            <w:r w:rsidRPr="00300D5F">
              <w:rPr>
                <w:sz w:val="20"/>
                <w:szCs w:val="20"/>
              </w:rPr>
              <w:t xml:space="preserve">Опанування на відповідному рівні </w:t>
            </w:r>
            <w:r>
              <w:rPr>
                <w:sz w:val="20"/>
                <w:szCs w:val="20"/>
              </w:rPr>
              <w:t xml:space="preserve">вибірковим освітнім компонентом дисциплін професійної підготовки </w:t>
            </w:r>
            <w:r w:rsidRPr="00300D5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Спортивні споруди і обладнання</w:t>
            </w:r>
            <w:r w:rsidRPr="00300D5F">
              <w:rPr>
                <w:sz w:val="20"/>
                <w:szCs w:val="20"/>
              </w:rPr>
              <w:t xml:space="preserve">» дасть можливість здобувачам вищої освіти першого (бакалаврського) рівня використовувати набуті теоретичні знання під час </w:t>
            </w:r>
            <w:r>
              <w:rPr>
                <w:sz w:val="20"/>
                <w:szCs w:val="20"/>
              </w:rPr>
              <w:t>підготовки та проведення</w:t>
            </w:r>
            <w:r w:rsidRPr="00300D5F">
              <w:rPr>
                <w:sz w:val="20"/>
                <w:szCs w:val="20"/>
              </w:rPr>
              <w:t xml:space="preserve"> різноманітних спортивних заходів </w:t>
            </w:r>
            <w:r>
              <w:rPr>
                <w:sz w:val="20"/>
                <w:szCs w:val="20"/>
              </w:rPr>
              <w:t>різного</w:t>
            </w:r>
            <w:r w:rsidRPr="00300D5F">
              <w:rPr>
                <w:sz w:val="20"/>
                <w:szCs w:val="20"/>
              </w:rPr>
              <w:t xml:space="preserve"> характеру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04840" w:rsidRPr="00854DAD" w:rsidTr="00304840">
        <w:tc>
          <w:tcPr>
            <w:tcW w:w="1961" w:type="dxa"/>
            <w:gridSpan w:val="2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Мета та цілі курсу</w:t>
            </w:r>
          </w:p>
        </w:tc>
        <w:tc>
          <w:tcPr>
            <w:tcW w:w="8920" w:type="dxa"/>
            <w:gridSpan w:val="18"/>
          </w:tcPr>
          <w:p w:rsidR="00304840" w:rsidRPr="00854DAD" w:rsidRDefault="00304840" w:rsidP="002E20EA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C35BE">
              <w:rPr>
                <w:rFonts w:ascii="Times New Roman" w:eastAsia="Times New Roman" w:hAnsi="Times New Roman" w:cs="Times New Roman"/>
                <w:sz w:val="20"/>
                <w:szCs w:val="20"/>
              </w:rPr>
              <w:t>оляга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ють</w:t>
            </w:r>
            <w:r w:rsidRPr="009C3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 формуванні загальних та спеціальних (фахових предметних) </w:t>
            </w:r>
            <w:proofErr w:type="spellStart"/>
            <w:r w:rsidRPr="009C35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компетентностей</w:t>
            </w:r>
            <w:proofErr w:type="spellEnd"/>
            <w:r w:rsidRPr="009C3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програмних результатів навчання у майбутніх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вчителів фізичної культури</w:t>
            </w:r>
            <w:r w:rsidRPr="009C35BE">
              <w:rPr>
                <w:rFonts w:ascii="Times New Roman" w:eastAsia="Times New Roman" w:hAnsi="Times New Roman" w:cs="Times New Roman"/>
                <w:sz w:val="20"/>
                <w:szCs w:val="20"/>
              </w:rPr>
              <w:t>, які спрямовані на підготовку висококваліфікованого фахівця, оволодіння загальними основами проектування, будівництва, ремонту та експлуатації спортивних споруд, призначених для занять спортом, масових фізкультурно-оздоровчих заходів за місцем проживання, в навчальних закладах, спортивних клубах, у місцях відпочинку тощо.</w:t>
            </w:r>
          </w:p>
        </w:tc>
      </w:tr>
      <w:tr w:rsidR="00304840" w:rsidRPr="00304840" w:rsidTr="00304840">
        <w:tc>
          <w:tcPr>
            <w:tcW w:w="1961" w:type="dxa"/>
            <w:gridSpan w:val="2"/>
            <w:shd w:val="clear" w:color="auto" w:fill="auto"/>
          </w:tcPr>
          <w:p w:rsidR="00304840" w:rsidRPr="002D30B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0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Методи навчання</w:t>
            </w:r>
          </w:p>
        </w:tc>
        <w:tc>
          <w:tcPr>
            <w:tcW w:w="8920" w:type="dxa"/>
            <w:gridSpan w:val="18"/>
            <w:shd w:val="clear" w:color="auto" w:fill="auto"/>
          </w:tcPr>
          <w:p w:rsidR="00304840" w:rsidRPr="002D30B0" w:rsidRDefault="00304840" w:rsidP="002E20EA">
            <w:pPr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C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Словесні, наочні та практичні методи фізичного виховання та спортивної підготовки, розповідь, діалогічний метод, бесіда; програмовий метод, презентація, демонстрація;  комбіновані методи, метод моделювання, рольовий метод; вирішення проблемних завдань; інтерактивні методи, технології дистанційного навчання; технології організації та проведення фізкультурно-оздоровчих та спортивних заходів.</w:t>
            </w:r>
          </w:p>
        </w:tc>
      </w:tr>
      <w:tr w:rsidR="00304840" w:rsidRPr="00854DAD" w:rsidTr="00304840">
        <w:tc>
          <w:tcPr>
            <w:tcW w:w="1961" w:type="dxa"/>
            <w:gridSpan w:val="2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курсу</w:t>
            </w:r>
          </w:p>
        </w:tc>
        <w:tc>
          <w:tcPr>
            <w:tcW w:w="8920" w:type="dxa"/>
            <w:gridSpan w:val="18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Стандартний курс (очний, заочний).</w:t>
            </w:r>
          </w:p>
        </w:tc>
      </w:tr>
      <w:tr w:rsidR="00304840" w:rsidRPr="00854DAD" w:rsidTr="00304840">
        <w:tc>
          <w:tcPr>
            <w:tcW w:w="1961" w:type="dxa"/>
            <w:gridSpan w:val="2"/>
            <w:shd w:val="clear" w:color="auto" w:fill="auto"/>
          </w:tcPr>
          <w:p w:rsidR="00304840" w:rsidRPr="00C9439F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601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Результати навчання</w:t>
            </w:r>
          </w:p>
        </w:tc>
        <w:tc>
          <w:tcPr>
            <w:tcW w:w="8920" w:type="dxa"/>
            <w:gridSpan w:val="18"/>
            <w:shd w:val="clear" w:color="auto" w:fill="auto"/>
          </w:tcPr>
          <w:p w:rsidR="00304840" w:rsidRPr="00502F7F" w:rsidRDefault="00304840" w:rsidP="002E20EA">
            <w:pPr>
              <w:pStyle w:val="2"/>
              <w:spacing w:after="0" w:line="240" w:lineRule="auto"/>
              <w:ind w:left="0" w:firstLine="319"/>
              <w:jc w:val="both"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>За результатами вивчення вибіркового компоненту дисциплін професійної  підготовки  «</w:t>
            </w:r>
            <w:r>
              <w:rPr>
                <w:sz w:val="20"/>
                <w:szCs w:val="20"/>
              </w:rPr>
              <w:t>Спортивні споруди і обладнання</w:t>
            </w:r>
            <w:r w:rsidRPr="00502F7F">
              <w:rPr>
                <w:sz w:val="20"/>
                <w:szCs w:val="20"/>
              </w:rPr>
              <w:t xml:space="preserve">» у здобувачів вищої освіти має сформуватися такий </w:t>
            </w:r>
            <w:r w:rsidRPr="00502F7F">
              <w:rPr>
                <w:i/>
                <w:sz w:val="20"/>
                <w:szCs w:val="20"/>
              </w:rPr>
              <w:t>програмний результат навчання: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04840" w:rsidRDefault="00304840" w:rsidP="002E20EA">
            <w:pPr>
              <w:pStyle w:val="2"/>
              <w:spacing w:after="0" w:line="240" w:lineRule="auto"/>
              <w:ind w:left="0" w:firstLine="319"/>
              <w:jc w:val="both"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>- ПРН 8 здійснювати заходи з підготовки спортсменів, організації й проведення спортивних змагань.</w:t>
            </w:r>
          </w:p>
          <w:p w:rsidR="00304840" w:rsidRPr="00A14A6E" w:rsidRDefault="00304840" w:rsidP="002E20EA">
            <w:pPr>
              <w:pStyle w:val="2"/>
              <w:spacing w:after="0" w:line="240" w:lineRule="auto"/>
              <w:ind w:left="0" w:firstLine="319"/>
              <w:jc w:val="both"/>
              <w:rPr>
                <w:i/>
                <w:sz w:val="20"/>
                <w:szCs w:val="20"/>
              </w:rPr>
            </w:pPr>
            <w:r w:rsidRPr="00A14A6E">
              <w:rPr>
                <w:i/>
                <w:sz w:val="20"/>
                <w:szCs w:val="20"/>
              </w:rPr>
              <w:t xml:space="preserve">Завдання </w:t>
            </w:r>
            <w:r>
              <w:rPr>
                <w:i/>
                <w:sz w:val="20"/>
                <w:szCs w:val="20"/>
              </w:rPr>
              <w:t>дисципліни</w:t>
            </w:r>
            <w:r w:rsidRPr="00A14A6E">
              <w:rPr>
                <w:i/>
                <w:sz w:val="20"/>
                <w:szCs w:val="20"/>
              </w:rPr>
              <w:t>:</w:t>
            </w:r>
          </w:p>
          <w:p w:rsidR="00304840" w:rsidRPr="00E6221B" w:rsidRDefault="00304840" w:rsidP="002E20EA">
            <w:pPr>
              <w:pStyle w:val="2"/>
              <w:spacing w:after="0" w:line="240" w:lineRule="auto"/>
              <w:ind w:left="34" w:firstLine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E6221B">
              <w:rPr>
                <w:sz w:val="20"/>
                <w:szCs w:val="20"/>
              </w:rPr>
              <w:t>формувати у здобувачів вищої освіти спеціальності 01</w:t>
            </w:r>
            <w:r>
              <w:rPr>
                <w:sz w:val="20"/>
                <w:szCs w:val="20"/>
              </w:rPr>
              <w:t>4</w:t>
            </w:r>
            <w:r w:rsidRPr="00E62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Середня освіта (Фізична культура) загальні та фахові</w:t>
            </w:r>
            <w:r w:rsidRPr="00E6221B">
              <w:rPr>
                <w:sz w:val="20"/>
                <w:szCs w:val="20"/>
              </w:rPr>
              <w:t xml:space="preserve"> компетентності, які визначені освітньо-професійною пр</w:t>
            </w:r>
            <w:r>
              <w:rPr>
                <w:sz w:val="20"/>
                <w:szCs w:val="20"/>
              </w:rPr>
              <w:t>ограмою «Середня освіта (Фізична культура)»;</w:t>
            </w:r>
          </w:p>
          <w:p w:rsidR="00304840" w:rsidRPr="00854DAD" w:rsidRDefault="00304840" w:rsidP="002E20EA">
            <w:pPr>
              <w:pStyle w:val="2"/>
              <w:spacing w:after="0" w:line="240" w:lineRule="auto"/>
              <w:ind w:left="34" w:firstLine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E6221B">
              <w:rPr>
                <w:sz w:val="20"/>
                <w:szCs w:val="20"/>
              </w:rPr>
              <w:t>панувати навчальний матеріалом навчальної дисципліни на відповідному рівні.</w:t>
            </w:r>
          </w:p>
        </w:tc>
      </w:tr>
      <w:tr w:rsidR="00304840" w:rsidRPr="00304840" w:rsidTr="00304840">
        <w:tc>
          <w:tcPr>
            <w:tcW w:w="1961" w:type="dxa"/>
            <w:gridSpan w:val="2"/>
            <w:shd w:val="clear" w:color="auto" w:fill="auto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Компетентності:</w:t>
            </w:r>
          </w:p>
        </w:tc>
        <w:tc>
          <w:tcPr>
            <w:tcW w:w="8920" w:type="dxa"/>
            <w:gridSpan w:val="18"/>
            <w:shd w:val="clear" w:color="auto" w:fill="auto"/>
          </w:tcPr>
          <w:p w:rsidR="00304840" w:rsidRPr="00F312F7" w:rsidRDefault="00304840" w:rsidP="002E20E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Відповідно до освітньо-професійної програми у здобувачів вищої освіти СВО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формується </w:t>
            </w:r>
            <w:r w:rsidRPr="00294ECE">
              <w:rPr>
                <w:rFonts w:ascii="Times New Roman" w:hAnsi="Times New Roman" w:cs="Times New Roman"/>
                <w:i/>
                <w:sz w:val="20"/>
                <w:szCs w:val="20"/>
              </w:rPr>
              <w:t>інтегральна компетентність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4840" w:rsidRPr="00502F7F" w:rsidRDefault="00304840" w:rsidP="002E20EA">
            <w:pPr>
              <w:ind w:firstLine="31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F7F">
              <w:rPr>
                <w:rFonts w:ascii="Times New Roman" w:hAnsi="Times New Roman" w:cs="Times New Roman"/>
                <w:i/>
                <w:sz w:val="20"/>
                <w:szCs w:val="20"/>
              </w:rPr>
              <w:t>Спеціальні фахові компетентності:</w:t>
            </w:r>
          </w:p>
          <w:p w:rsidR="00304840" w:rsidRPr="00502F7F" w:rsidRDefault="00304840" w:rsidP="002E20E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F">
              <w:rPr>
                <w:rFonts w:ascii="Times New Roman" w:hAnsi="Times New Roman" w:cs="Times New Roman"/>
                <w:sz w:val="20"/>
                <w:szCs w:val="20"/>
              </w:rPr>
              <w:t>- ФК 12 здатність використовувати спортивні споруди, спеціальне обладнання та інвентар.</w:t>
            </w:r>
          </w:p>
          <w:p w:rsidR="00304840" w:rsidRDefault="00304840" w:rsidP="002E20EA">
            <w:pPr>
              <w:ind w:firstLine="31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4840" w:rsidRPr="00A14A6E" w:rsidRDefault="00304840" w:rsidP="002E20EA">
            <w:pPr>
              <w:ind w:firstLine="31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A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Сфера реалізації здобутих </w:t>
            </w:r>
            <w:proofErr w:type="spellStart"/>
            <w:r w:rsidRPr="00A14A6E">
              <w:rPr>
                <w:rFonts w:ascii="Times New Roman" w:hAnsi="Times New Roman" w:cs="Times New Roman"/>
                <w:i/>
                <w:sz w:val="20"/>
                <w:szCs w:val="20"/>
              </w:rPr>
              <w:t>компетентностей</w:t>
            </w:r>
            <w:proofErr w:type="spellEnd"/>
            <w:r w:rsidRPr="00A14A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під час працевлаштування.</w:t>
            </w:r>
          </w:p>
          <w:p w:rsidR="00304840" w:rsidRPr="00502F7F" w:rsidRDefault="00304840" w:rsidP="002E20E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F">
              <w:rPr>
                <w:rFonts w:ascii="Times New Roman" w:hAnsi="Times New Roman" w:cs="Times New Roman"/>
                <w:sz w:val="20"/>
                <w:szCs w:val="20"/>
              </w:rPr>
              <w:t>Після закінчення навчання за освітньою-професійною програмою бакалавра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02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Середня освіта (Фізична культура)</w:t>
            </w:r>
            <w:r w:rsidRPr="00502F7F">
              <w:rPr>
                <w:rFonts w:ascii="Times New Roman" w:hAnsi="Times New Roman" w:cs="Times New Roman"/>
                <w:sz w:val="20"/>
                <w:szCs w:val="20"/>
              </w:rPr>
              <w:t xml:space="preserve"> випускник здатен виконувати зазначену в ДК 003:2010 професійну роботу і може займати відповідну первинну посаду: </w:t>
            </w:r>
          </w:p>
          <w:p w:rsidR="00304840" w:rsidRPr="00304840" w:rsidRDefault="00304840" w:rsidP="0030484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2320 – Вчитель фізичної культури закладу загальної</w:t>
            </w:r>
          </w:p>
          <w:p w:rsidR="00304840" w:rsidRPr="00304840" w:rsidRDefault="00304840" w:rsidP="0030484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середньої освіти</w:t>
            </w:r>
          </w:p>
          <w:p w:rsidR="00304840" w:rsidRPr="00304840" w:rsidRDefault="00304840" w:rsidP="0030484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2351.2 – Методист з фізичної культури</w:t>
            </w:r>
          </w:p>
          <w:p w:rsidR="00304840" w:rsidRPr="00304840" w:rsidRDefault="00304840" w:rsidP="0030484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3475 – Інструктор-методист з фізичної культури та спорту</w:t>
            </w:r>
          </w:p>
          <w:p w:rsidR="00304840" w:rsidRPr="00304840" w:rsidRDefault="00304840" w:rsidP="0030484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1229.6 – Керівник фізичного виховання</w:t>
            </w:r>
          </w:p>
          <w:p w:rsidR="00304840" w:rsidRPr="00854DAD" w:rsidRDefault="00304840" w:rsidP="00304840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3414 – Фахівець із організації̈</w:t>
            </w:r>
            <w:r w:rsidR="00304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дозвілля</w:t>
            </w:r>
            <w:bookmarkEnd w:id="1"/>
          </w:p>
        </w:tc>
      </w:tr>
      <w:tr w:rsidR="00304840" w:rsidRPr="00304840" w:rsidTr="00304840">
        <w:tc>
          <w:tcPr>
            <w:tcW w:w="1961" w:type="dxa"/>
            <w:gridSpan w:val="2"/>
            <w:shd w:val="clear" w:color="auto" w:fill="auto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Пререквізити</w:t>
            </w:r>
            <w:proofErr w:type="spellEnd"/>
          </w:p>
        </w:tc>
        <w:tc>
          <w:tcPr>
            <w:tcW w:w="8920" w:type="dxa"/>
            <w:gridSpan w:val="18"/>
            <w:shd w:val="clear" w:color="auto" w:fill="auto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Освітні компоненти, базові знання яких та результати навчання необхідні здобувачу вищої освіти для успішного навчання та опанування </w:t>
            </w:r>
            <w:proofErr w:type="spellStart"/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компетентностями</w:t>
            </w:r>
            <w:proofErr w:type="spellEnd"/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дисципліни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Спортивні споруди і обладнання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 xml:space="preserve">є обов’язкові компоненти дисциплін професійної підготовки, а саме: </w:t>
            </w:r>
            <w:r w:rsidRPr="00F312F7">
              <w:rPr>
                <w:rFonts w:ascii="Times New Roman" w:hAnsi="Times New Roman" w:cs="Times New Roman"/>
                <w:sz w:val="20"/>
                <w:szCs w:val="20"/>
              </w:rPr>
              <w:t>«Теорія і методика легкої атлетики», «Теорія і методика спортивних ігор», «Теорія і методика гімнастики», «Підвищення спортивної майстерності»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4840" w:rsidRPr="00304840" w:rsidTr="00304840">
        <w:tc>
          <w:tcPr>
            <w:tcW w:w="1961" w:type="dxa"/>
            <w:gridSpan w:val="2"/>
            <w:shd w:val="clear" w:color="auto" w:fill="auto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Пореквізити</w:t>
            </w:r>
            <w:proofErr w:type="spellEnd"/>
          </w:p>
        </w:tc>
        <w:tc>
          <w:tcPr>
            <w:tcW w:w="8920" w:type="dxa"/>
            <w:gridSpan w:val="18"/>
            <w:shd w:val="clear" w:color="auto" w:fill="auto"/>
          </w:tcPr>
          <w:p w:rsidR="00304840" w:rsidRPr="008A24C5" w:rsidRDefault="00304840" w:rsidP="002E20EA">
            <w:pPr>
              <w:pStyle w:val="1"/>
              <w:tabs>
                <w:tab w:val="center" w:pos="7569"/>
                <w:tab w:val="left" w:pos="11164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Набутті теоретичні знання практичні вміння та навички з освітнього компонент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312F7">
              <w:rPr>
                <w:rFonts w:ascii="Times New Roman" w:hAnsi="Times New Roman" w:cs="Times New Roman"/>
                <w:sz w:val="20"/>
                <w:szCs w:val="20"/>
              </w:rPr>
              <w:t>Спортивні споруди і обладнання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» опанування якими можуть бути використані під час вивчення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 дисциплін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, як: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3818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 практика у профільній середній школі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 w:val="restart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Обсяг і ознаки курсу</w:t>
            </w:r>
          </w:p>
        </w:tc>
        <w:tc>
          <w:tcPr>
            <w:tcW w:w="3234" w:type="dxa"/>
            <w:gridSpan w:val="2"/>
            <w:vMerge w:val="restart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показників</w:t>
            </w:r>
          </w:p>
        </w:tc>
        <w:tc>
          <w:tcPr>
            <w:tcW w:w="5686" w:type="dxa"/>
            <w:gridSpan w:val="16"/>
            <w:tcBorders>
              <w:left w:val="single" w:sz="4" w:space="0" w:color="auto"/>
            </w:tcBorders>
          </w:tcPr>
          <w:p w:rsidR="00304840" w:rsidRPr="00854DAD" w:rsidRDefault="00304840" w:rsidP="002E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навчального курсу </w:t>
            </w:r>
          </w:p>
        </w:tc>
      </w:tr>
      <w:tr w:rsidR="00304840" w:rsidRPr="00854DAD" w:rsidTr="00304840">
        <w:trPr>
          <w:trHeight w:val="357"/>
        </w:trPr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vMerge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016341" w:rsidRDefault="00304840" w:rsidP="002E20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6341">
              <w:rPr>
                <w:rFonts w:ascii="Times New Roman" w:hAnsi="Times New Roman" w:cs="Times New Roman"/>
                <w:b/>
                <w:sz w:val="20"/>
              </w:rPr>
              <w:t>денна форма здобуття вищої освіти</w:t>
            </w:r>
          </w:p>
        </w:tc>
        <w:tc>
          <w:tcPr>
            <w:tcW w:w="2579" w:type="dxa"/>
            <w:gridSpan w:val="8"/>
            <w:tcBorders>
              <w:left w:val="single" w:sz="4" w:space="0" w:color="auto"/>
            </w:tcBorders>
          </w:tcPr>
          <w:p w:rsidR="00304840" w:rsidRPr="00016341" w:rsidRDefault="00304840" w:rsidP="002E20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6341">
              <w:rPr>
                <w:rFonts w:ascii="Times New Roman" w:hAnsi="Times New Roman" w:cs="Times New Roman"/>
                <w:b/>
                <w:sz w:val="20"/>
              </w:rPr>
              <w:t>заочна форма здобуття вищої освіти</w:t>
            </w:r>
          </w:p>
        </w:tc>
      </w:tr>
      <w:tr w:rsidR="00304840" w:rsidRPr="00854DAD" w:rsidTr="00304840">
        <w:trPr>
          <w:trHeight w:val="132"/>
        </w:trPr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Рік навчання/ рік викладання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4-й рік</w:t>
            </w:r>
          </w:p>
        </w:tc>
        <w:tc>
          <w:tcPr>
            <w:tcW w:w="2579" w:type="dxa"/>
            <w:gridSpan w:val="8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D0F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-й рік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Семестр вивчення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D0F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ІІ семестр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0" w:rsidRPr="00D747C1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VI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</w:tcPr>
          <w:p w:rsidR="00304840" w:rsidRPr="00D747C1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C73B76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C73B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язковий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освітній компонент професійної підготовки </w:t>
            </w:r>
            <w:r w:rsidRPr="00C73B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вибірковий освітній компонент</w:t>
            </w:r>
          </w:p>
        </w:tc>
        <w:tc>
          <w:tcPr>
            <w:tcW w:w="5686" w:type="dxa"/>
            <w:gridSpan w:val="16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Вибірковий 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компонент дисциплін професійної підготовки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Кількість кредитів ЄКТС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4 кредити</w:t>
            </w:r>
          </w:p>
        </w:tc>
        <w:tc>
          <w:tcPr>
            <w:tcW w:w="2579" w:type="dxa"/>
            <w:gridSpan w:val="8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4 кредити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120 годин</w:t>
            </w:r>
          </w:p>
        </w:tc>
        <w:tc>
          <w:tcPr>
            <w:tcW w:w="2579" w:type="dxa"/>
            <w:gridSpan w:val="8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120 годин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Кількість годин навчальних занять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</w:p>
        </w:tc>
        <w:tc>
          <w:tcPr>
            <w:tcW w:w="2579" w:type="dxa"/>
            <w:gridSpan w:val="8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Лекційні заняття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Практичні заняття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години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Семінарські заняття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Лабораторні заняття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годин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години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години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Самостійна та індивідуальна робота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79" w:type="dxa"/>
            <w:gridSpan w:val="8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0F52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04840" w:rsidRPr="00854DAD" w:rsidTr="00304840">
        <w:tc>
          <w:tcPr>
            <w:tcW w:w="1961" w:type="dxa"/>
            <w:gridSpan w:val="2"/>
            <w:vMerge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04840" w:rsidRPr="00854DAD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2579" w:type="dxa"/>
            <w:gridSpan w:val="8"/>
            <w:tcBorders>
              <w:left w:val="single" w:sz="4" w:space="0" w:color="auto"/>
            </w:tcBorders>
          </w:tcPr>
          <w:p w:rsidR="00304840" w:rsidRPr="003D0F52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залік</w:t>
            </w:r>
          </w:p>
        </w:tc>
      </w:tr>
      <w:tr w:rsidR="00304840" w:rsidRPr="00854DAD" w:rsidTr="00304840">
        <w:tc>
          <w:tcPr>
            <w:tcW w:w="1961" w:type="dxa"/>
            <w:gridSpan w:val="2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Технічне й програмне </w:t>
            </w: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забезпечення /обладнання</w:t>
            </w:r>
          </w:p>
        </w:tc>
        <w:tc>
          <w:tcPr>
            <w:tcW w:w="8920" w:type="dxa"/>
            <w:gridSpan w:val="18"/>
          </w:tcPr>
          <w:p w:rsidR="00304840" w:rsidRPr="00D747C1" w:rsidRDefault="00304840" w:rsidP="002E20E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проведення лекційних занять використовуються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 xml:space="preserve">ультимедійна лекційна аудиторія (105), мультимедійний </w:t>
            </w:r>
            <w:proofErr w:type="spellStart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проєктор</w:t>
            </w:r>
            <w:proofErr w:type="spellEnd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 xml:space="preserve"> VІЕWSONIC PJD5253 DLP (2017 р., 1 шт.), екран для </w:t>
            </w:r>
            <w:proofErr w:type="spellStart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проєктора</w:t>
            </w:r>
            <w:proofErr w:type="spellEnd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 xml:space="preserve"> (1 шт.); навчальна аудиторія обчислювальної техніки № 17, ноутбук або персональний комп’ютер, мережа </w:t>
            </w:r>
            <w:r w:rsidRPr="00D74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Інтернет, модульне </w:t>
            </w:r>
            <w:proofErr w:type="spellStart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обʼєктно</w:t>
            </w:r>
            <w:proofErr w:type="spellEnd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 xml:space="preserve">-орієнтоване динамічне середовище MOODLE, конференції у </w:t>
            </w:r>
            <w:proofErr w:type="spellStart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840" w:rsidRPr="00D747C1" w:rsidRDefault="00304840" w:rsidP="002E20E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Вивчення курсу потребує використання такого обладнання:</w:t>
            </w:r>
          </w:p>
          <w:p w:rsidR="00304840" w:rsidRPr="00D747C1" w:rsidRDefault="00304840" w:rsidP="002E20E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ab/>
              <w:t>GPS прилади для вимірювання площі;</w:t>
            </w:r>
          </w:p>
          <w:p w:rsidR="00304840" w:rsidRPr="00D747C1" w:rsidRDefault="00304840" w:rsidP="002E20E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ab/>
              <w:t>Вимірна стрічка;</w:t>
            </w:r>
          </w:p>
          <w:p w:rsidR="00304840" w:rsidRPr="00D747C1" w:rsidRDefault="00304840" w:rsidP="002E20E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ab/>
              <w:t>Лазерний далекомір;</w:t>
            </w:r>
          </w:p>
          <w:p w:rsidR="00304840" w:rsidRPr="00854DAD" w:rsidRDefault="00304840" w:rsidP="002E20E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7C1">
              <w:rPr>
                <w:rFonts w:ascii="Times New Roman" w:hAnsi="Times New Roman" w:cs="Times New Roman"/>
                <w:sz w:val="20"/>
                <w:szCs w:val="20"/>
              </w:rPr>
              <w:tab/>
              <w:t>Креслярське приладдя.</w:t>
            </w:r>
          </w:p>
        </w:tc>
      </w:tr>
      <w:tr w:rsidR="00304840" w:rsidRPr="00304840" w:rsidTr="00304840">
        <w:tc>
          <w:tcPr>
            <w:tcW w:w="1961" w:type="dxa"/>
            <w:gridSpan w:val="2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Політики курсу</w:t>
            </w:r>
          </w:p>
        </w:tc>
        <w:tc>
          <w:tcPr>
            <w:tcW w:w="8920" w:type="dxa"/>
            <w:gridSpan w:val="18"/>
          </w:tcPr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2594">
              <w:rPr>
                <w:rFonts w:ascii="Times New Roman" w:hAnsi="Times New Roman" w:cs="Times New Roman"/>
                <w:i/>
                <w:sz w:val="20"/>
                <w:szCs w:val="20"/>
              </w:rPr>
              <w:t>Умови визначення успішного засвоєння освітнього компоненту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Спортивні споруди і обладнання</w:t>
            </w:r>
            <w:r w:rsidRPr="00E62594">
              <w:rPr>
                <w:rFonts w:ascii="Times New Roman" w:hAnsi="Times New Roman" w:cs="Times New Roman"/>
                <w:i/>
                <w:sz w:val="20"/>
                <w:szCs w:val="20"/>
              </w:rPr>
              <w:t>»: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кредити присвоюються здобувачам вищої освіти після завершення навчальної дисципліни та успішного оцінювання досягнутих ними результатів навчання;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критерієм успішного проходження здобувачем вищої освіти оцінювання результатів навчання є досягнення ним мінімального порогового рівня оцінок за кожним запланованим результатом навчання освітнього компоненту та мінімального порогового рівня оцінки за освітнім компонентом загалом, яких складає 60 % від максимально можливої кількості балів, визначеної відповідними нормативними документами Університету;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здобувач вищої освіти вважається таким, що має академічну заборгованість за результатами поточного контролю, якщо він не відпрацював пропущені навчальні заняття, не </w:t>
            </w:r>
            <w:proofErr w:type="spellStart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пересклав</w:t>
            </w:r>
            <w:proofErr w:type="spellEnd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оцінки 0, 1, 2, 3 отримані на навчальних заняттях, не виконав або виконав модульну контрольну роботу, завдання самостійної та індивідуальної робіт з оцінкою, що становить менше 60 % від максимальної кількості балів, виділених на ці види робіт;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здобувач вищої освіти, який не має академічної заборгованості за результатами поточного контролю з освітнього компонента, підсумкової формою контролю за яким встановлено залік/диференційованих залік, отримує підсумкову рейтингову оцінки, яка визначається як сума рейтингової оцінки за навчальні заняття та рейтингових оцінок контрольних заходів поточного контролю з цього освітнього компоненту;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здобувач вищої освіти, який має академічну заборгованість за результатами поточного контролю з освітнього компоненту, підсумкової формою контролю за яким встановлено залік/диференційований залік отримує оцінку F за шкалою ЄКТС та «не зараховано»/«незадовільно» за національною шкалою;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здобувач вищої освіти, який має академічну заборгованість за результатами підсумкового контролю з освітнього компоненту у формі заліку/диференційованого заліку зобов’язаний ліквідувати її в терміни, визначені графіком ліквідації академічної заборгованості;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ліквідацію академічної заборгованості за результатами семестрового контролю дозволяють до початку наступного семестру в час, визначений графіком ліквідації академічної заборгованості, та допускають не більше двох разів: перший раз – викладачеві, другий – комісії яку створюють за розпорядженням декана факультету;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відповідь здобувача вищої освіти, який ліквідовує академічну заборгованість на засіданні комісії, оцінюють за 100-бальною шкалою без урахування рейтингової оцінки поточної успішності;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за неуспішного проходження оцінювання результатів навчання за освітнім компонентом кредити здобувачі вищої освіти не присвоюють.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Визнання  результатів неформальної  та  (або)  </w:t>
            </w:r>
            <w:proofErr w:type="spellStart"/>
            <w:r w:rsidRPr="00B928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інформальної</w:t>
            </w:r>
            <w:proofErr w:type="spellEnd"/>
            <w:r w:rsidRPr="00B928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освіти. 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 випадку, якщо здобувач освіти отримав знання у неформальній та </w:t>
            </w:r>
            <w:proofErr w:type="spellStart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інформальній</w:t>
            </w:r>
            <w:proofErr w:type="spellEnd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освіті, зарахування результатів навчання здійснюється згідно Положення про визнання результатів навчання, отриманих  у  формальній,  неформальній  та/або  </w:t>
            </w:r>
            <w:proofErr w:type="spellStart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інформальній</w:t>
            </w:r>
            <w:proofErr w:type="spellEnd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освіті  у  </w:t>
            </w:r>
            <w:proofErr w:type="spellStart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Камʼянець</w:t>
            </w:r>
            <w:proofErr w:type="spellEnd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-Подільському національному університеті імені Івана Огієнка (Порядок визнання результатів навчання здобувачів вищої освіти, отриманих шляхом здобуття неформальної/</w:t>
            </w:r>
            <w:proofErr w:type="spellStart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інформальної</w:t>
            </w:r>
            <w:proofErr w:type="spellEnd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освіти в Кам’янець-Подільському національному університеті імені Івана Огієнка),   зокрема,   якщо   їх   тематика відповідає змісту навчальної дисципліни (окремій темі або змістовому модулю).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В неформальній освіті: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закінчення  професійних  курсів,  семінарів  або  тренінгів,  тематика  яких  відповідає змісту  навчальної  дисципліни  (окремій  темі  або  змістовому  модулю);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підготовка конкурсної наукової роботи;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призове місце на Всеукраїнському конкурсі студентських наукових робіт;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призове місце на Всеукраїнській студентській олімпіаді 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отримання сертифікату судді 1-ї, 2-ї або національної категорії у своєму виді спорту або суміжних видах. 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інформальній</w:t>
            </w:r>
            <w:proofErr w:type="spellEnd"/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освіті: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наявність наукової публікації;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волонтерська діяльність;</w:t>
            </w:r>
          </w:p>
          <w:p w:rsidR="00304840" w:rsidRPr="00B9280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t>- підготовка школярів-призерів інтелектуальних та творчих конкурсів з фізичної культури та спорту, дитячих змагань різного рівня;</w:t>
            </w:r>
          </w:p>
          <w:p w:rsidR="00304840" w:rsidRPr="00CA2CD1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наявність  особистих  спортивних  досягнень  (переможці,  призери  Чемпіонатів  Світу, Європи, України, діючий МСМК,  МС,  КМС, І розряд.</w:t>
            </w:r>
          </w:p>
        </w:tc>
      </w:tr>
      <w:tr w:rsidR="00304840" w:rsidRPr="00B94229" w:rsidTr="00304840">
        <w:tc>
          <w:tcPr>
            <w:tcW w:w="1961" w:type="dxa"/>
            <w:gridSpan w:val="2"/>
            <w:vMerge w:val="restart"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Схема курсу</w:t>
            </w:r>
          </w:p>
        </w:tc>
        <w:tc>
          <w:tcPr>
            <w:tcW w:w="8920" w:type="dxa"/>
            <w:gridSpan w:val="18"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Денна форма здобуття вищої освіти </w:t>
            </w:r>
          </w:p>
        </w:tc>
      </w:tr>
      <w:tr w:rsidR="00304840" w:rsidRPr="00B94229" w:rsidTr="00304840"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  <w:vMerge w:val="restart"/>
            <w:tcBorders>
              <w:right w:val="single" w:sz="4" w:space="0" w:color="auto"/>
            </w:tcBorders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</w:tcBorders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</w:t>
            </w:r>
          </w:p>
        </w:tc>
      </w:tr>
      <w:tr w:rsidR="00304840" w:rsidRPr="00B94229" w:rsidTr="00304840"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  <w:vMerge/>
            <w:tcBorders>
              <w:right w:val="single" w:sz="4" w:space="0" w:color="auto"/>
            </w:tcBorders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4252" w:type="dxa"/>
            <w:gridSpan w:val="13"/>
            <w:tcBorders>
              <w:left w:val="single" w:sz="4" w:space="0" w:color="auto"/>
            </w:tcBorders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у тому числі</w:t>
            </w:r>
          </w:p>
        </w:tc>
      </w:tr>
      <w:tr w:rsidR="00304840" w:rsidRPr="00B94229" w:rsidTr="00304840">
        <w:trPr>
          <w:trHeight w:val="1645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  <w:vMerge/>
            <w:tcBorders>
              <w:right w:val="single" w:sz="4" w:space="0" w:color="auto"/>
            </w:tcBorders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лекційні заняття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 заняття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семінарські заняття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 заняття</w:t>
            </w:r>
          </w:p>
        </w:tc>
        <w:tc>
          <w:tcPr>
            <w:tcW w:w="980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29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22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індивідуальна робота</w:t>
            </w:r>
          </w:p>
        </w:tc>
      </w:tr>
      <w:tr w:rsidR="00304840" w:rsidRPr="00B94229" w:rsidTr="00304840"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gridSpan w:val="18"/>
          </w:tcPr>
          <w:p w:rsidR="00304840" w:rsidRPr="00CA14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Змістовий модуль 1</w:t>
            </w:r>
          </w:p>
          <w:p w:rsidR="00304840" w:rsidRPr="000D5CCB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Основи будівництва та експлуатації спортивних споруд</w:t>
            </w:r>
          </w:p>
        </w:tc>
      </w:tr>
      <w:tr w:rsidR="00304840" w:rsidRPr="00854DAD" w:rsidTr="00304840">
        <w:trPr>
          <w:trHeight w:val="175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</w:tcPr>
          <w:p w:rsidR="00304840" w:rsidRPr="000D5CCB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709" w:type="dxa"/>
            <w:gridSpan w:val="2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3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840" w:rsidRPr="00854DAD" w:rsidTr="00304840">
        <w:trPr>
          <w:trHeight w:val="175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</w:tcPr>
          <w:p w:rsidR="00304840" w:rsidRPr="000D5CCB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709" w:type="dxa"/>
            <w:gridSpan w:val="2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3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840" w:rsidRPr="00854DAD" w:rsidTr="00304840">
        <w:trPr>
          <w:trHeight w:val="175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gridSpan w:val="18"/>
            <w:vAlign w:val="center"/>
          </w:tcPr>
          <w:p w:rsidR="00304840" w:rsidRPr="000D5CCB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D5CCB">
              <w:rPr>
                <w:rFonts w:ascii="Times New Roman" w:hAnsi="Times New Roman" w:cs="Times New Roman"/>
                <w:b/>
                <w:sz w:val="20"/>
                <w:szCs w:val="20"/>
              </w:rPr>
              <w:t>Заочна форма здобуття вищої освіти</w:t>
            </w:r>
          </w:p>
        </w:tc>
      </w:tr>
      <w:tr w:rsidR="00304840" w:rsidRPr="00854DAD" w:rsidTr="00304840">
        <w:trPr>
          <w:trHeight w:val="175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  <w:vMerge w:val="restart"/>
            <w:vAlign w:val="center"/>
          </w:tcPr>
          <w:p w:rsidR="00304840" w:rsidRPr="000D5CCB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4961" w:type="dxa"/>
            <w:gridSpan w:val="15"/>
            <w:vAlign w:val="center"/>
          </w:tcPr>
          <w:p w:rsidR="00304840" w:rsidRPr="000D5CCB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</w:t>
            </w:r>
          </w:p>
        </w:tc>
      </w:tr>
      <w:tr w:rsidR="00304840" w:rsidRPr="00854DAD" w:rsidTr="00304840">
        <w:trPr>
          <w:trHeight w:val="175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  <w:vMerge/>
            <w:vAlign w:val="center"/>
          </w:tcPr>
          <w:p w:rsidR="00304840" w:rsidRPr="000D5CCB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4840" w:rsidRPr="000D5CCB" w:rsidRDefault="00304840" w:rsidP="002E20E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4252" w:type="dxa"/>
            <w:gridSpan w:val="13"/>
            <w:vAlign w:val="center"/>
          </w:tcPr>
          <w:p w:rsidR="00304840" w:rsidRPr="000D5CCB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у тому числі</w:t>
            </w:r>
          </w:p>
        </w:tc>
      </w:tr>
      <w:tr w:rsidR="00304840" w:rsidRPr="00854DAD" w:rsidTr="00304840">
        <w:trPr>
          <w:trHeight w:val="1625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  <w:vMerge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лекційні заняття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 заняття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семінарські заняття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 заняття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304840" w:rsidRPr="00B94229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29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708" w:type="dxa"/>
            <w:textDirection w:val="btLr"/>
            <w:vAlign w:val="center"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22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індивідуальна робота</w:t>
            </w:r>
          </w:p>
        </w:tc>
      </w:tr>
      <w:tr w:rsidR="00304840" w:rsidRPr="00854DAD" w:rsidTr="00304840">
        <w:trPr>
          <w:trHeight w:val="175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gridSpan w:val="18"/>
          </w:tcPr>
          <w:p w:rsidR="00304840" w:rsidRPr="00CA14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Змістовий модуль 1</w:t>
            </w:r>
          </w:p>
          <w:p w:rsidR="00304840" w:rsidRPr="000D5CCB" w:rsidRDefault="00304840" w:rsidP="002E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7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Основи будівництва та експлуатації спортивних споруд</w:t>
            </w:r>
          </w:p>
        </w:tc>
      </w:tr>
      <w:tr w:rsidR="00304840" w:rsidRPr="00854DAD" w:rsidTr="00304840">
        <w:trPr>
          <w:trHeight w:val="175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</w:tcPr>
          <w:p w:rsidR="00304840" w:rsidRPr="000D5CCB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709" w:type="dxa"/>
            <w:gridSpan w:val="2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42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9" w:type="dxa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gridSpan w:val="3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gridSpan w:val="2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4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3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gridSpan w:val="3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429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4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4840" w:rsidRPr="00854DAD" w:rsidTr="00304840">
        <w:trPr>
          <w:trHeight w:val="298"/>
        </w:trPr>
        <w:tc>
          <w:tcPr>
            <w:tcW w:w="1961" w:type="dxa"/>
            <w:gridSpan w:val="2"/>
            <w:vMerge/>
          </w:tcPr>
          <w:p w:rsidR="00304840" w:rsidRPr="00B94229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3"/>
          </w:tcPr>
          <w:p w:rsidR="00304840" w:rsidRPr="000D5CCB" w:rsidRDefault="00304840" w:rsidP="002E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709" w:type="dxa"/>
            <w:gridSpan w:val="2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42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9" w:type="dxa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gridSpan w:val="3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gridSpan w:val="2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4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3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gridSpan w:val="3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429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304840" w:rsidRPr="00CA1429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4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4840" w:rsidRPr="00304840" w:rsidTr="00304840">
        <w:trPr>
          <w:trHeight w:val="285"/>
        </w:trPr>
        <w:tc>
          <w:tcPr>
            <w:tcW w:w="1961" w:type="dxa"/>
            <w:gridSpan w:val="2"/>
            <w:tcBorders>
              <w:top w:val="single" w:sz="4" w:space="0" w:color="auto"/>
            </w:tcBorders>
          </w:tcPr>
          <w:p w:rsidR="00304840" w:rsidRPr="0067141E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D30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 та методи оцінювання</w:t>
            </w:r>
          </w:p>
        </w:tc>
        <w:tc>
          <w:tcPr>
            <w:tcW w:w="89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04840" w:rsidRPr="00312CFB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7AC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Поточне та контрольне оцінювання здобувачів вищої освіти спеціальності 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57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Середня освіта (Фізична культура)</w:t>
            </w:r>
            <w:r w:rsidRPr="00357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 «бакалавр»  здійснюється  із використанням таких форм та методів: усне опитування, тестування, демонстрація, вирішення проблемних ситуацій, виконання творчих завдань, створення презентацій навчального матеріалу, аналіз виконаної роботи, модульна контрольна робота, залік.</w:t>
            </w:r>
          </w:p>
        </w:tc>
      </w:tr>
      <w:tr w:rsidR="00304840" w:rsidRPr="00854DAD" w:rsidTr="00304840">
        <w:trPr>
          <w:trHeight w:val="461"/>
        </w:trPr>
        <w:tc>
          <w:tcPr>
            <w:tcW w:w="1961" w:type="dxa"/>
            <w:gridSpan w:val="2"/>
            <w:vMerge w:val="restart"/>
            <w:tcBorders>
              <w:top w:val="single" w:sz="4" w:space="0" w:color="auto"/>
            </w:tcBorders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 оцінювання</w:t>
            </w:r>
          </w:p>
        </w:tc>
        <w:tc>
          <w:tcPr>
            <w:tcW w:w="8920" w:type="dxa"/>
            <w:gridSpan w:val="18"/>
            <w:tcBorders>
              <w:top w:val="single" w:sz="4" w:space="0" w:color="auto"/>
            </w:tcBorders>
          </w:tcPr>
          <w:p w:rsidR="00304840" w:rsidRPr="00854DAD" w:rsidRDefault="00304840" w:rsidP="002E20E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7AC">
              <w:rPr>
                <w:rFonts w:ascii="Times New Roman" w:hAnsi="Times New Roman" w:cs="Times New Roman"/>
                <w:sz w:val="20"/>
                <w:szCs w:val="20"/>
              </w:rPr>
              <w:t>Максимальний бал оцінки поточної успішності студентів на навчальних заняттях рівний 12-ти</w:t>
            </w:r>
            <w:r w:rsidRPr="00671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Теоретична підготовка 20 балів, практична підготовка 80 балів. Разом – 100 балів</w:t>
            </w:r>
          </w:p>
        </w:tc>
      </w:tr>
      <w:tr w:rsidR="00304840" w:rsidRPr="00854DAD" w:rsidTr="00304840">
        <w:trPr>
          <w:trHeight w:val="15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74" w:type="dxa"/>
            <w:gridSpan w:val="8"/>
            <w:tcBorders>
              <w:top w:val="single" w:sz="4" w:space="0" w:color="auto"/>
            </w:tcBorders>
          </w:tcPr>
          <w:p w:rsidR="00304840" w:rsidRPr="0067141E" w:rsidRDefault="00304840" w:rsidP="002E2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Поточний і модульний контроль (60 балів)</w:t>
            </w:r>
          </w:p>
        </w:tc>
        <w:tc>
          <w:tcPr>
            <w:tcW w:w="3146" w:type="dxa"/>
            <w:gridSpan w:val="10"/>
            <w:tcBorders>
              <w:top w:val="single" w:sz="4" w:space="0" w:color="auto"/>
            </w:tcBorders>
          </w:tcPr>
          <w:p w:rsidR="00304840" w:rsidRPr="0067141E" w:rsidRDefault="00304840" w:rsidP="002E2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Сума</w:t>
            </w:r>
          </w:p>
        </w:tc>
      </w:tr>
      <w:tr w:rsidR="00304840" w:rsidRPr="00854DAD" w:rsidTr="00304840">
        <w:trPr>
          <w:trHeight w:val="164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840" w:rsidRPr="00CE7BDF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 xml:space="preserve">Змістовий модуль 1 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840" w:rsidRPr="00CE7BDF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Самостійна робота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304840" w:rsidRPr="00CE7BDF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>Модульна контрольна робота</w:t>
            </w:r>
          </w:p>
        </w:tc>
        <w:tc>
          <w:tcPr>
            <w:tcW w:w="3146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304840" w:rsidRPr="00CE7BDF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>100 балів</w:t>
            </w:r>
          </w:p>
        </w:tc>
      </w:tr>
      <w:tr w:rsidR="00304840" w:rsidRPr="00854DAD" w:rsidTr="00304840">
        <w:trPr>
          <w:trHeight w:val="15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840" w:rsidRPr="00CE7BDF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 xml:space="preserve">Поточний контроль 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CE7BDF">
              <w:rPr>
                <w:rFonts w:ascii="Times New Roman" w:hAnsi="Times New Roman" w:cs="Times New Roman"/>
                <w:sz w:val="20"/>
              </w:rPr>
              <w:t xml:space="preserve"> балів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840" w:rsidRPr="00CE7BDF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балів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304840" w:rsidRPr="00CE7BDF" w:rsidRDefault="00304840" w:rsidP="002E20EA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E7BDF">
              <w:rPr>
                <w:rFonts w:ascii="Times New Roman" w:hAnsi="Times New Roman" w:cs="Times New Roman"/>
                <w:sz w:val="20"/>
              </w:rPr>
              <w:t>0 балів</w:t>
            </w:r>
          </w:p>
        </w:tc>
        <w:tc>
          <w:tcPr>
            <w:tcW w:w="3146" w:type="dxa"/>
            <w:gridSpan w:val="10"/>
            <w:vMerge/>
          </w:tcPr>
          <w:p w:rsidR="00304840" w:rsidRPr="0067141E" w:rsidRDefault="00304840" w:rsidP="002E2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40" w:rsidRPr="00854DAD" w:rsidTr="00304840">
        <w:trPr>
          <w:trHeight w:val="15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gridSpan w:val="18"/>
            <w:tcBorders>
              <w:top w:val="single" w:sz="4" w:space="0" w:color="auto"/>
            </w:tcBorders>
          </w:tcPr>
          <w:p w:rsidR="00304840" w:rsidRPr="0067141E" w:rsidRDefault="00304840" w:rsidP="002E2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40" w:rsidRPr="00304840" w:rsidTr="00304840">
        <w:trPr>
          <w:trHeight w:val="15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gridSpan w:val="18"/>
            <w:tcBorders>
              <w:top w:val="single" w:sz="4" w:space="0" w:color="auto"/>
            </w:tcBorders>
          </w:tcPr>
          <w:p w:rsidR="00304840" w:rsidRDefault="00304840" w:rsidP="002E2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6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Шкала оцінювання навчальної діяльності здобувачів вищої освіти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304840" w:rsidRPr="00F71DD8" w:rsidRDefault="00304840" w:rsidP="002E20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6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Оцінювання навчальної діяльності здобувачів вищої освіти</w:t>
            </w:r>
          </w:p>
        </w:tc>
      </w:tr>
      <w:tr w:rsidR="00304840" w:rsidRPr="00854DAD" w:rsidTr="00304840">
        <w:trPr>
          <w:trHeight w:val="260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gridSpan w:val="18"/>
            <w:tcBorders>
              <w:top w:val="single" w:sz="4" w:space="0" w:color="auto"/>
            </w:tcBorders>
          </w:tcPr>
          <w:p w:rsidR="00304840" w:rsidRPr="00F71DD8" w:rsidRDefault="00304840" w:rsidP="002E20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Змістовий модуль 1 (40 балів)</w:t>
            </w:r>
          </w:p>
        </w:tc>
      </w:tr>
      <w:tr w:rsidR="00304840" w:rsidRPr="00854DAD" w:rsidTr="00304840">
        <w:trPr>
          <w:trHeight w:val="6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1. Конспект в робочому зошиті лекційного курсу (самостійна робота).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160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6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2. Усне опитування або тестування із використанням технологій дистанційного навчання, а саме: модульного об’єктно-орієнтованого динамічного середовища MOODLE – лекційне заняття № 1 « Вступ до дисципліни «Спортивні споруди і обладнання»».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160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6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3. Усне опитування або тестування із використанням технологій дистанційного навчання, а саме: модульного об’єктно-орієнтованого динамічного середовища MOODLE – лекційне заняття № 2 « Норми, структура та організація будівництва спортивних споруд і обладнання».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160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6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4. Усне опитування або тестування із використанням технологій дистанційного навчання, а саме: модульного об’єктно-орієнтованого динамічного середовища MOODLE – лекційне заняття № 3 « Спортивні споруди для легкої атлетики».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160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6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 xml:space="preserve">5. Усне опитування або тестування із використанням технологій дистанційного навчання, а саме: модульного об’єктно-орієнтованого динамічного середовища </w:t>
            </w:r>
            <w:r w:rsidRPr="002326E5">
              <w:rPr>
                <w:rFonts w:ascii="Times New Roman" w:hAnsi="Times New Roman" w:cs="Times New Roman"/>
                <w:sz w:val="20"/>
              </w:rPr>
              <w:lastRenderedPageBreak/>
              <w:t>MOODLE – лекційне заняття № 4 « Організаційні основи експлуатації спортивних споруд».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160">
              <w:rPr>
                <w:rFonts w:ascii="Times New Roman" w:hAnsi="Times New Roman" w:cs="Times New Roman"/>
                <w:sz w:val="20"/>
              </w:rPr>
              <w:lastRenderedPageBreak/>
              <w:t>4-12</w:t>
            </w:r>
          </w:p>
        </w:tc>
      </w:tr>
      <w:tr w:rsidR="00304840" w:rsidRPr="00854DAD" w:rsidTr="00304840">
        <w:trPr>
          <w:trHeight w:val="6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6.  Вирішення проблемних ситуацій, аналіз виконаної роботи, виконання індивідуальних завдань під час практичного заняття № 1 « Загальні відомості про спортивні споруди».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160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6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7.  Вирішення проблемних ситуацій, аналіз виконаної роботи, виконання індивідуальних завдань під час практичного заняття № 2 « Класифікація та характеристика спортивних споруд».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160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68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8.  Вирішення проблемних ситуацій, аналіз виконаної роботи, виконання індивідуальних завдань під час практичного заняття № 3 « Основи будівництва спортивних споруд».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160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9.  Вирішення проблемних ситуацій, аналіз виконаної роботи, виконання індивідуальних завдань під час практичного заняття № 4 «Будівництво площинних відкритих спортивних споруд».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160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10.  Вирішення проблемних ситуацій, аналіз виконаної роботи, виконання індивідуальних завдань під час практичного заняття № 5 «Спортивні споруди – матеріально-технічна основа розвитку фізичної культури та спорту».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7D2160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11. Вирішення проблемних ситуацій, аналіз виконаної роботи, виконання індивідуальних завдань під час практичного заняття № 6 «Фізкультурно-спортивні споруди для масових видів спорту, спортивних ігор».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12.  Вирішення проблемних ситуацій, аналіз виконаної роботи, виконання індивідуальних завдань під час практичного заняття № 7 «Спортивні споруди для легкої атлетики».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13.  Вирішення проблемних ситуацій, аналіз виконаної роботи, виконання індивідуальних завдань під час практичного заняття № 8 «Споруди для гімнастики, єдиноборствами, боксу та силовими видами спорту».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14.  Виконання завдань під час лабораторного заняття № 1 «Будівництво спортивного ядра».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15.  Виконання завдань під час лабораторного заняття № 2 «Будівництво майданчиків для занять спортивними іграми».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16.  Виконання завдань під час лабораторного заняття № 3 «Будівництво та розмітка місць для стрибків у довжину та висоту».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17.  Виконання завдань під час лабораторного заняття № 4 «Будівництво та розмітка місць для метання».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B9280C">
              <w:rPr>
                <w:rFonts w:ascii="Times New Roman" w:hAnsi="Times New Roman" w:cs="Times New Roman"/>
                <w:sz w:val="20"/>
              </w:rPr>
              <w:t>18.  Виконання завдань під час лабораторного заняття № 5 «Планування та розмітка легкоатлетичних доріжок».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B9280C">
              <w:rPr>
                <w:rFonts w:ascii="Times New Roman" w:hAnsi="Times New Roman" w:cs="Times New Roman"/>
                <w:sz w:val="20"/>
              </w:rPr>
              <w:t>19.  Виконання завдань під час лабораторного заняття № 6 «Планування та розмітка майданчику для тенісу».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B9280C">
              <w:rPr>
                <w:rFonts w:ascii="Times New Roman" w:hAnsi="Times New Roman" w:cs="Times New Roman"/>
                <w:sz w:val="20"/>
              </w:rPr>
              <w:t>20.  Виконання завдань під час лабораторного заняття № 7  «Планування та розмітка майданчику для баскетболу».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473"/>
        </w:trPr>
        <w:tc>
          <w:tcPr>
            <w:tcW w:w="1961" w:type="dxa"/>
            <w:gridSpan w:val="2"/>
            <w:vMerge/>
          </w:tcPr>
          <w:p w:rsidR="00304840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1" w:type="dxa"/>
            <w:gridSpan w:val="13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ind w:firstLine="167"/>
              <w:rPr>
                <w:rFonts w:ascii="Times New Roman" w:hAnsi="Times New Roman" w:cs="Times New Roman"/>
                <w:sz w:val="20"/>
              </w:rPr>
            </w:pPr>
            <w:r w:rsidRPr="00B9280C">
              <w:rPr>
                <w:rFonts w:ascii="Times New Roman" w:hAnsi="Times New Roman" w:cs="Times New Roman"/>
                <w:sz w:val="20"/>
              </w:rPr>
              <w:t>21.  Виконання завдань під час лабораторного заняття № 8  «Планування та розмітка майданчику для волейболу».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04840" w:rsidRPr="002326E5" w:rsidRDefault="00304840" w:rsidP="002E20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6E5">
              <w:rPr>
                <w:rFonts w:ascii="Times New Roman" w:hAnsi="Times New Roman" w:cs="Times New Roman"/>
                <w:sz w:val="20"/>
              </w:rPr>
              <w:t>4-12</w:t>
            </w:r>
          </w:p>
        </w:tc>
      </w:tr>
      <w:tr w:rsidR="00304840" w:rsidRPr="00854DAD" w:rsidTr="00304840">
        <w:trPr>
          <w:trHeight w:val="1560"/>
        </w:trPr>
        <w:tc>
          <w:tcPr>
            <w:tcW w:w="1961" w:type="dxa"/>
            <w:gridSpan w:val="2"/>
          </w:tcPr>
          <w:p w:rsidR="00304840" w:rsidRPr="00854DAD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Інформаційне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навчально-методичне забезпечення</w:t>
            </w:r>
          </w:p>
        </w:tc>
        <w:tc>
          <w:tcPr>
            <w:tcW w:w="89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04840" w:rsidRPr="00780EA9" w:rsidRDefault="00304840" w:rsidP="002E20EA">
            <w:pPr>
              <w:ind w:firstLine="3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E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Рекомендована література.</w:t>
            </w:r>
          </w:p>
          <w:p w:rsidR="00304840" w:rsidRPr="00780EA9" w:rsidRDefault="00304840" w:rsidP="002E20EA">
            <w:pPr>
              <w:ind w:firstLine="3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4840" w:rsidRDefault="00304840" w:rsidP="002E20EA">
            <w:pPr>
              <w:shd w:val="clear" w:color="auto" w:fill="FFFFFF"/>
              <w:ind w:firstLine="30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Основна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304840" w:rsidRPr="00916A1A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1. </w:t>
            </w:r>
            <w:proofErr w:type="spellStart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Міщак</w:t>
            </w:r>
            <w:proofErr w:type="spellEnd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О. І., Омельченко О. С. Збірник лекцій з дисципліни «Спортивні споруди і обладнання» Дніпропетровськ : ПФ «Стандарт-Сервіс», 2015. 80 с.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2. </w:t>
            </w:r>
            <w:proofErr w:type="spellStart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Міщак</w:t>
            </w:r>
            <w:proofErr w:type="spellEnd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О. І., Омельченко О. С. Комп’ютерний практикум з дисципліни «Спортивні споруди». 2017. 50 с.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3. </w:t>
            </w:r>
            <w:proofErr w:type="spellStart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Вітріщак</w:t>
            </w:r>
            <w:proofErr w:type="spellEnd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С. В., </w:t>
            </w:r>
            <w:proofErr w:type="spellStart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Погорелова</w:t>
            </w:r>
            <w:proofErr w:type="spellEnd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І. О., </w:t>
            </w:r>
            <w:proofErr w:type="spellStart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Погорелов</w:t>
            </w:r>
            <w:proofErr w:type="spellEnd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В. П., </w:t>
            </w:r>
            <w:proofErr w:type="spellStart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Гайдаш</w:t>
            </w:r>
            <w:proofErr w:type="spellEnd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І. А. Санітарно-гігієнічні вимоги до спортивно-оздоровчих комплексів / Український медичний альманах. Том 16, № 2. 2013. С. 172-177.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4. Луцький Я. О., Луцький В. О., </w:t>
            </w:r>
            <w:proofErr w:type="spellStart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Випасняк</w:t>
            </w:r>
            <w:proofErr w:type="spellEnd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І. А., </w:t>
            </w:r>
            <w:proofErr w:type="spellStart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Римик</w:t>
            </w:r>
            <w:proofErr w:type="spellEnd"/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Р. В. Спортивні споруди та обладнання. Навчально-методичний посібник. Електрон. текст. дані.  Івано-Франківськ, 2010. 213 с. </w:t>
            </w:r>
            <w:hyperlink r:id="rId10" w:history="1">
              <w:r w:rsidRPr="005E3514">
                <w:rPr>
                  <w:rStyle w:val="a3"/>
                  <w:rFonts w:ascii="Times New Roman" w:hAnsi="Times New Roman" w:cs="Times New Roman"/>
                  <w:bCs/>
                  <w:spacing w:val="-6"/>
                  <w:sz w:val="20"/>
                  <w:szCs w:val="20"/>
                </w:rPr>
                <w:t>http://194.44.152.155/elib/local/3339.pdf</w:t>
              </w:r>
            </w:hyperlink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5. Довгенько Ю. Сучасні підходи до обліку спортивних споруд в Україні. Спортивний вісник. Придніпров'я, 2010. С. 11-13.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304840" w:rsidRDefault="00304840" w:rsidP="002E20EA">
            <w:pPr>
              <w:shd w:val="clear" w:color="auto" w:fill="FFFFFF"/>
              <w:ind w:firstLine="30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Допоміжна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304840" w:rsidRPr="00916A1A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1. Закон України "Про внесення змін до Закону України "Про фізичну культуру і спорт" та інших законодавчих актів України 17.11.2009 N 1724-VI - чинний.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lastRenderedPageBreak/>
              <w:t>2. Закон України «Про охорону праці» відомості Верховної Ради України (ВВР), 1992, № 49, ст.668.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3. Закон України «Про охорону праці» відомості Верховної Ради України (ВВР), 1992, № 49, ст.668.</w:t>
            </w:r>
          </w:p>
          <w:p w:rsidR="00304840" w:rsidRPr="00916A1A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3. Державні будівельні норми України. Спортивні та фізкультурно–оздоровчі споруди МБН В.2.2.–13–2003. Державний комітет України з будівництва та архітектури. Київ, 2004.</w:t>
            </w:r>
          </w:p>
          <w:p w:rsidR="00304840" w:rsidRPr="00780EA9" w:rsidRDefault="00304840" w:rsidP="002E20EA">
            <w:pPr>
              <w:shd w:val="clear" w:color="auto" w:fill="FFFFFF"/>
              <w:ind w:firstLine="308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 </w:t>
            </w: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Єдиний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 </w:t>
            </w: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електронний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 </w:t>
            </w: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всеукраїнський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 </w:t>
            </w: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реєстр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 </w:t>
            </w: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спортивних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 </w:t>
            </w:r>
            <w:r w:rsidRPr="00916A1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споруд</w:t>
            </w:r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. </w:t>
            </w:r>
            <w:hyperlink r:id="rId11" w:history="1">
              <w:r w:rsidRPr="005E3514">
                <w:rPr>
                  <w:rStyle w:val="a3"/>
                  <w:rFonts w:ascii="Times New Roman" w:hAnsi="Times New Roman" w:cs="Times New Roman"/>
                  <w:bCs/>
                  <w:spacing w:val="-6"/>
                  <w:sz w:val="20"/>
                  <w:szCs w:val="20"/>
                </w:rPr>
                <w:t>http://dsmsu.gov.ua/index/ua/material/7402</w:t>
              </w:r>
            </w:hyperlink>
            <w: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</w:p>
        </w:tc>
      </w:tr>
      <w:tr w:rsidR="00304840" w:rsidRPr="00854DAD" w:rsidTr="00304840">
        <w:trPr>
          <w:trHeight w:val="125"/>
        </w:trPr>
        <w:tc>
          <w:tcPr>
            <w:tcW w:w="1961" w:type="dxa"/>
            <w:gridSpan w:val="2"/>
            <w:shd w:val="clear" w:color="auto" w:fill="auto"/>
          </w:tcPr>
          <w:p w:rsidR="00304840" w:rsidRPr="005A4F3C" w:rsidRDefault="00304840" w:rsidP="002E20EA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Локація </w:t>
            </w:r>
          </w:p>
        </w:tc>
        <w:tc>
          <w:tcPr>
            <w:tcW w:w="89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840" w:rsidRPr="005A4F3C" w:rsidRDefault="0030484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3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з розкладом</w:t>
            </w:r>
          </w:p>
          <w:p w:rsidR="00304840" w:rsidRPr="00854DAD" w:rsidRDefault="00304900" w:rsidP="002E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304840" w:rsidRPr="005E351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https://kpnu.edu.ua/rozklad-zaniat/</w:t>
              </w:r>
            </w:hyperlink>
          </w:p>
        </w:tc>
      </w:tr>
    </w:tbl>
    <w:p w:rsidR="00304840" w:rsidRPr="0040186E" w:rsidRDefault="00304840" w:rsidP="00304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2988"/>
        <w:gridCol w:w="3165"/>
      </w:tblGrid>
      <w:tr w:rsidR="00304840" w:rsidRPr="00BD6F73" w:rsidTr="002E20EA">
        <w:tc>
          <w:tcPr>
            <w:tcW w:w="3587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A1D09">
              <w:rPr>
                <w:rFonts w:ascii="Times New Roman" w:hAnsi="Times New Roman" w:cs="Times New Roman"/>
                <w:sz w:val="24"/>
                <w:szCs w:val="20"/>
              </w:rPr>
              <w:t xml:space="preserve">Розробники </w:t>
            </w:r>
            <w:proofErr w:type="spellStart"/>
            <w:r w:rsidRPr="00CA1D09">
              <w:rPr>
                <w:rFonts w:ascii="Times New Roman" w:hAnsi="Times New Roman" w:cs="Times New Roman"/>
                <w:sz w:val="24"/>
                <w:szCs w:val="20"/>
              </w:rPr>
              <w:t>силабуса</w:t>
            </w:r>
            <w:proofErr w:type="spellEnd"/>
            <w:r w:rsidRPr="00CA1D09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Василь ЛІЩУК</w:t>
            </w:r>
          </w:p>
        </w:tc>
      </w:tr>
      <w:tr w:rsidR="00304840" w:rsidRPr="00BD6F73" w:rsidTr="002E20EA">
        <w:tc>
          <w:tcPr>
            <w:tcW w:w="3587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8781095" wp14:editId="2120ED69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-326390</wp:posOffset>
                  </wp:positionV>
                  <wp:extent cx="815975" cy="702678"/>
                  <wp:effectExtent l="0" t="0" r="0" b="0"/>
                  <wp:wrapNone/>
                  <wp:docPr id="3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70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04840" w:rsidRPr="00BD6F73" w:rsidTr="002E20EA">
        <w:tc>
          <w:tcPr>
            <w:tcW w:w="3587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04840" w:rsidRPr="00BD6F73" w:rsidTr="002E20EA">
        <w:tc>
          <w:tcPr>
            <w:tcW w:w="3587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04840" w:rsidRPr="00BD6F73" w:rsidTr="002E20EA">
        <w:tc>
          <w:tcPr>
            <w:tcW w:w="3587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A1D09">
              <w:rPr>
                <w:rFonts w:ascii="Times New Roman" w:hAnsi="Times New Roman" w:cs="Times New Roman"/>
                <w:sz w:val="24"/>
                <w:szCs w:val="20"/>
              </w:rPr>
              <w:t xml:space="preserve">Завідувач кафедри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легкої атлетики з методикою викладання</w:t>
            </w: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740A15A" wp14:editId="557AA2C1">
                  <wp:simplePos x="0" y="0"/>
                  <wp:positionH relativeFrom="column">
                    <wp:posOffset>952130</wp:posOffset>
                  </wp:positionH>
                  <wp:positionV relativeFrom="paragraph">
                    <wp:posOffset>-26035</wp:posOffset>
                  </wp:positionV>
                  <wp:extent cx="563521" cy="645780"/>
                  <wp:effectExtent l="0" t="0" r="0" b="0"/>
                  <wp:wrapNone/>
                  <wp:docPr id="34" name="Picture 26" descr="Гурман Л.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6" descr="Гурман Л.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21" cy="64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8" w:type="dxa"/>
          </w:tcPr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04840" w:rsidRPr="00CA1D09" w:rsidRDefault="00304840" w:rsidP="002E20E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Леонід ГУРМАН</w:t>
            </w:r>
          </w:p>
        </w:tc>
      </w:tr>
    </w:tbl>
    <w:p w:rsidR="00304840" w:rsidRDefault="00304840" w:rsidP="00304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04840" w:rsidRDefault="00304840" w:rsidP="00304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04840" w:rsidRDefault="00304840" w:rsidP="00304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04840" w:rsidRDefault="00304840" w:rsidP="00304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04840" w:rsidRDefault="00304840" w:rsidP="00304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04840" w:rsidRDefault="00304840" w:rsidP="00304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04840" w:rsidRDefault="00304840" w:rsidP="00304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304840" w:rsidRDefault="00304840" w:rsidP="00304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04840" w:rsidRDefault="00304840" w:rsidP="00304840">
      <w:pPr>
        <w:ind w:hanging="1276"/>
      </w:pPr>
    </w:p>
    <w:sectPr w:rsidR="0030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0"/>
    <w:rsid w:val="00304840"/>
    <w:rsid w:val="00304900"/>
    <w:rsid w:val="00D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5D8"/>
  <w15:chartTrackingRefBased/>
  <w15:docId w15:val="{7E987984-90B4-4269-9045-15A41E26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840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304840"/>
    <w:rPr>
      <w:color w:val="0000FF"/>
      <w:u w:val="single"/>
    </w:rPr>
  </w:style>
  <w:style w:type="table" w:styleId="a4">
    <w:name w:val="Table Grid"/>
    <w:basedOn w:val="a1"/>
    <w:uiPriority w:val="59"/>
    <w:rsid w:val="0030484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30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6">
    <w:name w:val="Основний текст Знак"/>
    <w:basedOn w:val="a0"/>
    <w:link w:val="a5"/>
    <w:rsid w:val="00304840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7">
    <w:name w:val="Body Text Indent"/>
    <w:basedOn w:val="a"/>
    <w:link w:val="a8"/>
    <w:uiPriority w:val="99"/>
    <w:unhideWhenUsed/>
    <w:rsid w:val="003048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3048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048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rsid w:val="0030484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kpnu.edu.ua/vidomosti-pro-vykladachiv/lishchuk-vasyl-volodymyrovych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prozar_nikolas@kpnu.edu.ua" TargetMode="External"/><Relationship Id="rId12" Type="http://schemas.openxmlformats.org/officeDocument/2006/relationships/hyperlink" Target="https://kpnu.edu.ua/rozklad-zania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dsmsu.gov.ua/index/ua/material/7402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194.44.152.155/elib/local/3339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oodle.kpnu.edu.ua/course/view.php?id=919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2023-01-02T14:12:00Z</dcterms:created>
  <dcterms:modified xsi:type="dcterms:W3CDTF">2023-01-03T08:34:00Z</dcterms:modified>
</cp:coreProperties>
</file>